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10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R4-2401053</w:t>
      </w:r>
      <w:bookmarkStart w:id="1" w:name="_GoBack"/>
      <w:bookmarkEnd w:id="1"/>
    </w:p>
    <w:p>
      <w:pPr>
        <w:pStyle w:val="81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Athens, GR, 26 Feb – 01 Mar,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 w:eastAsia="zh-CN"/>
              </w:rPr>
              <w:t>(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t>NR_pos_enh2-</w:t>
            </w:r>
            <w:r>
              <w:rPr>
                <w:rFonts w:ascii="Arial" w:hAnsi="Arial" w:cs="Arial" w:eastAsiaTheme="minorEastAsia"/>
                <w:sz w:val="20"/>
                <w:szCs w:val="20"/>
              </w:rPr>
              <w:t>Core</w:t>
            </w:r>
            <w:r>
              <w:rPr>
                <w:rFonts w:hint="eastAsia"/>
                <w:highlight w:val="none"/>
                <w:lang w:val="en-US" w:eastAsia="zh-CN"/>
              </w:rPr>
              <w:t xml:space="preserve">) Draft </w:t>
            </w:r>
            <w:r>
              <w:rPr>
                <w:rFonts w:hint="eastAsia"/>
                <w:highlight w:val="none"/>
              </w:rPr>
              <w:t xml:space="preserve">CR on </w:t>
            </w:r>
            <w:r>
              <w:rPr>
                <w:rFonts w:hint="eastAsia"/>
                <w:highlight w:val="none"/>
                <w:lang w:val="en-US" w:eastAsia="zh-CN"/>
              </w:rPr>
              <w:t>UE transmit timing for positioning measurements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NR_pos_enh2-</w:t>
            </w:r>
            <w:r>
              <w:rPr>
                <w:rFonts w:ascii="Arial" w:hAnsi="Arial" w:cs="Arial" w:eastAsiaTheme="minorEastAsia"/>
                <w:sz w:val="20"/>
                <w:szCs w:val="20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25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Following RAN1 agreement to add a note in TS 38.133 to clarify that negative TA value is not expected for one-shot autonomous TA adjustment within the validity area.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Following RAN1 agreement to add a note in TS 38.133 to clarify that negative TA value is not expected for one-shot autonomous TA adjustment within the validity area.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T</w:t>
            </w:r>
            <w:r>
              <w:rPr>
                <w:rFonts w:eastAsia="宋体"/>
                <w:highlight w:val="none"/>
                <w:lang w:val="en-US" w:eastAsia="zh-CN"/>
              </w:rPr>
              <w:t>he requirements</w:t>
            </w:r>
            <w:r>
              <w:rPr>
                <w:highlight w:val="none"/>
                <w:lang w:eastAsia="zh-CN"/>
              </w:rPr>
              <w:t xml:space="preserve"> are not </w:t>
            </w:r>
            <w:r>
              <w:rPr>
                <w:rFonts w:hint="eastAsia"/>
                <w:highlight w:val="none"/>
                <w:lang w:val="en-US" w:eastAsia="zh-CN"/>
              </w:rPr>
              <w:t>completed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7.1.2.4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pStyle w:val="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7.1.2.4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UE transmit timing for positioning measurements</w:t>
      </w:r>
    </w:p>
    <w:p>
      <w:pPr>
        <w:rPr>
          <w:rFonts w:eastAsia="Batang"/>
        </w:rPr>
      </w:pPr>
      <w:r>
        <w:rPr>
          <w:rFonts w:eastAsia="Batang"/>
          <w:lang w:eastAsia="ko-KR"/>
        </w:rPr>
        <w:t xml:space="preserve">If cell reselection occurs in RRC_Inactive within </w:t>
      </w:r>
      <w:r>
        <w:rPr>
          <w:rFonts w:eastAsia="Batang"/>
          <w:i/>
        </w:rPr>
        <w:t>srs-PosRRC-InactiveValidityArea area</w:t>
      </w:r>
      <w:r>
        <w:rPr>
          <w:rFonts w:eastAsia="Batang"/>
          <w:lang w:eastAsia="ko-KR"/>
        </w:rPr>
        <w:t xml:space="preserve">, the UE shall have capability to follow the frame timing change of the reference cell when transmiting SRS for positioning. The uplink frame transmission takes place </w:t>
      </w:r>
      <m:oMath>
        <m:d>
          <m:dPr>
            <m:ctrlPr>
              <w:rPr>
                <w:rFonts w:ascii="Cambria Math" w:hAnsi="Cambria Math" w:eastAsia="Batang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 w:eastAsia="Batang"/>
                    <w:i/>
                    <w:lang w:eastAsia="ko-KR"/>
                  </w:rPr>
                </m:ctrlPr>
              </m:sSubPr>
              <m:e>
                <m:r>
                  <m:rPr/>
                  <w:rPr>
                    <w:rFonts w:ascii="Cambria Math" w:hAnsi="Cambria Math" w:eastAsia="Batang"/>
                    <w:lang w:eastAsia="ko-KR"/>
                  </w:rPr>
                  <m:t>N</m:t>
                </m:r>
                <m:ctrlPr>
                  <w:rPr>
                    <w:rFonts w:ascii="Cambria Math" w:hAnsi="Cambria Math" w:eastAsia="Batang"/>
                    <w:i/>
                    <w:lang w:eastAsia="ko-KR"/>
                  </w:rPr>
                </m:ctrlPr>
              </m:e>
              <m:sub>
                <m:r>
                  <m:rPr/>
                  <w:rPr>
                    <w:rFonts w:ascii="Cambria Math" w:hAnsi="Cambria Math" w:eastAsia="Batang"/>
                    <w:lang w:eastAsia="ko-KR"/>
                  </w:rPr>
                  <m:t>TA</m:t>
                </m:r>
                <m:ctrlPr>
                  <w:rPr>
                    <w:rFonts w:ascii="Cambria Math" w:hAnsi="Cambria Math" w:eastAsia="Batang"/>
                    <w:i/>
                    <w:lang w:eastAsia="ko-KR"/>
                  </w:rPr>
                </m:ctrlPr>
              </m:sub>
            </m:sSub>
            <m:r>
              <m:rPr/>
              <w:rPr>
                <w:rFonts w:ascii="Cambria Math" w:hAnsi="Cambria Math" w:eastAsia="Batang"/>
                <w:lang w:eastAsia="ko-KR"/>
              </w:rPr>
              <m:t>+</m:t>
            </m:r>
            <m:sSub>
              <m:sSubPr>
                <m:ctrlPr>
                  <w:rPr>
                    <w:rFonts w:ascii="Cambria Math" w:hAnsi="Cambria Math" w:eastAsia="Batang"/>
                    <w:i/>
                    <w:lang w:eastAsia="ko-KR"/>
                  </w:rPr>
                </m:ctrlPr>
              </m:sSubPr>
              <m:e>
                <m:r>
                  <m:rPr/>
                  <w:rPr>
                    <w:rFonts w:ascii="Cambria Math" w:hAnsi="Cambria Math" w:eastAsia="Batang"/>
                    <w:lang w:eastAsia="ko-KR"/>
                  </w:rPr>
                  <m:t>N</m:t>
                </m:r>
                <m:ctrlPr>
                  <w:rPr>
                    <w:rFonts w:ascii="Cambria Math" w:hAnsi="Cambria Math" w:eastAsia="Batang"/>
                    <w:i/>
                    <w:lang w:eastAsia="ko-KR"/>
                  </w:rPr>
                </m:ctrlPr>
              </m:e>
              <m:sub>
                <m:r>
                  <m:rPr/>
                  <w:rPr>
                    <w:rFonts w:ascii="Cambria Math" w:hAnsi="Cambria Math" w:eastAsia="Batang"/>
                    <w:lang w:eastAsia="ko-KR"/>
                  </w:rPr>
                  <m:t>TA offset</m:t>
                </m:r>
                <m:ctrlPr>
                  <w:rPr>
                    <w:rFonts w:ascii="Cambria Math" w:hAnsi="Cambria Math" w:eastAsia="Batang"/>
                    <w:i/>
                    <w:lang w:eastAsia="ko-KR"/>
                  </w:rPr>
                </m:ctrlPr>
              </m:sub>
            </m:sSub>
            <m:ctrlPr>
              <w:rPr>
                <w:rFonts w:ascii="Cambria Math" w:hAnsi="Cambria Math" w:eastAsia="Batang"/>
                <w:lang w:eastAsia="ko-KR"/>
              </w:rPr>
            </m:ctrlPr>
          </m:e>
        </m:d>
        <m:r>
          <m:rPr>
            <m:sty m:val="p"/>
          </m:rPr>
          <w:rPr>
            <w:rFonts w:ascii="Cambria Math" w:hAnsi="Cambria Math" w:eastAsia="Batang"/>
            <w:lang w:eastAsia="ko-KR"/>
          </w:rPr>
          <m:t>×</m:t>
        </m:r>
        <m:sSub>
          <m:sSubPr>
            <m:ctrlPr>
              <w:rPr>
                <w:rFonts w:ascii="Cambria Math" w:hAnsi="Cambria Math" w:eastAsia="Batang"/>
                <w:lang w:eastAsia="ko-KR"/>
              </w:rPr>
            </m:ctrlPr>
          </m:sSubPr>
          <m:e>
            <m:r>
              <m:rPr/>
              <w:rPr>
                <w:rFonts w:ascii="Cambria Math" w:hAnsi="Cambria Math" w:eastAsia="Batang"/>
                <w:lang w:eastAsia="ko-KR"/>
              </w:rPr>
              <m:t>T</m:t>
            </m:r>
            <m:ctrlPr>
              <w:rPr>
                <w:rFonts w:ascii="Cambria Math" w:hAnsi="Cambria Math" w:eastAsia="Batang"/>
                <w:lang w:eastAsia="ko-KR"/>
              </w:rPr>
            </m:ctrlPr>
          </m:e>
          <m:sub>
            <m:r>
              <m:rPr/>
              <w:rPr>
                <w:rFonts w:ascii="Cambria Math" w:hAnsi="Cambria Math" w:eastAsia="Batang"/>
                <w:lang w:eastAsia="ko-KR"/>
              </w:rPr>
              <m:t>c</m:t>
            </m:r>
            <m:ctrlPr>
              <w:rPr>
                <w:rFonts w:ascii="Cambria Math" w:hAnsi="Cambria Math" w:eastAsia="Batang"/>
                <w:lang w:eastAsia="ko-KR"/>
              </w:rPr>
            </m:ctrlPr>
          </m:sub>
        </m:sSub>
      </m:oMath>
      <w:r>
        <w:rPr>
          <w:rFonts w:hint="eastAsia" w:eastAsia="Batang"/>
          <w:lang w:eastAsia="ko-KR"/>
        </w:rPr>
        <w:t xml:space="preserve"> before the reception of the first detected path (in time) of the corresponding downlink frame from </w:t>
      </w:r>
      <w:r>
        <w:rPr>
          <w:rFonts w:eastAsia="Batang"/>
          <w:lang w:eastAsia="ko-KR"/>
        </w:rPr>
        <w:t>the reference cell. The UE shall use the current camping cell as reference cell for deriving the UE transmit timing. Gradual timing adjustment requirements are defined in the following requirements.</w:t>
      </w:r>
    </w:p>
    <w:p>
      <w:pPr>
        <w:rPr>
          <w:rFonts w:eastAsia="Malgun Gothic" w:cs="v4.2.0"/>
          <w:lang w:eastAsia="ko-KR"/>
        </w:rPr>
      </w:pPr>
      <w:r>
        <w:rPr>
          <w:rFonts w:eastAsia="Malgun Gothic" w:cs="v4.2.0"/>
          <w:lang w:eastAsia="ko-KR"/>
        </w:rPr>
        <w:t>W</w:t>
      </w:r>
      <w:r>
        <w:rPr>
          <w:rFonts w:hint="eastAsia" w:eastAsia="Malgun Gothic" w:cs="v4.2.0"/>
          <w:lang w:eastAsia="ko-KR"/>
        </w:rPr>
        <w:t xml:space="preserve">hen </w:t>
      </w:r>
      <w:r>
        <w:rPr>
          <w:rFonts w:eastAsia="Malgun Gothic" w:cs="v4.2.0"/>
          <w:i/>
          <w:lang w:eastAsia="ko-KR"/>
        </w:rPr>
        <w:t>ueAotonomousTaAdjustment</w:t>
      </w:r>
      <w:r>
        <w:rPr>
          <w:rFonts w:eastAsia="Malgun Gothic" w:cs="v4.2.0"/>
          <w:lang w:eastAsia="ko-KR"/>
        </w:rPr>
        <w:t xml:space="preserve"> is configured, the following requirements apply to the UE supporting [</w:t>
      </w:r>
      <w:r>
        <w:rPr>
          <w:rFonts w:eastAsiaTheme="minorEastAsia"/>
          <w:i/>
          <w:iCs/>
          <w:lang w:val="en-US"/>
        </w:rPr>
        <w:t>AutonomousAdjustOneStepUL-Timing-r18</w:t>
      </w:r>
      <w:r>
        <w:rPr>
          <w:rFonts w:eastAsia="Malgun Gothic" w:cs="v4.2.0"/>
          <w:lang w:eastAsia="ko-KR"/>
        </w:rPr>
        <w:t>]:</w:t>
      </w:r>
    </w:p>
    <w:p>
      <w:pPr>
        <w:pStyle w:val="75"/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If the DL timing difference is </w:t>
      </w:r>
      <w:r>
        <w:rPr>
          <w:rFonts w:hint="eastAsia" w:eastAsia="Batang"/>
          <w:lang w:eastAsia="ko-KR"/>
        </w:rPr>
        <w:t>≥ CP/4</w:t>
      </w:r>
      <w:r>
        <w:rPr>
          <w:rFonts w:eastAsia="Batang"/>
          <w:lang w:eastAsia="ko-KR"/>
        </w:rPr>
        <w:t>,</w:t>
      </w:r>
      <w:r>
        <w:rPr>
          <w:rFonts w:hint="eastAsia" w:eastAsia="Batang"/>
          <w:lang w:eastAsia="ko-KR"/>
        </w:rPr>
        <w:t xml:space="preserve"> UE autonomously adjusts the TA based on t</w:t>
      </w:r>
      <w:r>
        <w:rPr>
          <w:rFonts w:eastAsia="Batang"/>
          <w:lang w:eastAsia="ko-KR"/>
        </w:rPr>
        <w:t xml:space="preserve">wice of the DL timing difference </w:t>
      </w:r>
    </w:p>
    <w:p>
      <w:pPr>
        <w:pStyle w:val="75"/>
        <w:rPr>
          <w:rFonts w:eastAsia="Batang"/>
        </w:rPr>
      </w:pPr>
      <w:r>
        <w:rPr>
          <w:rFonts w:eastAsia="Batang"/>
        </w:rPr>
        <w:t>-</w:t>
      </w:r>
      <w:r>
        <w:rPr>
          <w:rFonts w:eastAsia="Batang"/>
        </w:rPr>
        <w:tab/>
      </w:r>
      <w:r>
        <w:rPr>
          <w:rFonts w:eastAsia="Batang"/>
        </w:rPr>
        <w:t xml:space="preserve">The </w:t>
      </w:r>
      <w:r>
        <w:rPr>
          <w:rFonts w:eastAsia="Batang"/>
          <w:lang w:eastAsia="ko-KR"/>
        </w:rPr>
        <w:t xml:space="preserve">UE  UL transmission timing error after autonomous TA adjustment shall be less than or equal to </w:t>
      </w:r>
      <w:r>
        <w:rPr>
          <w:rFonts w:cs="v4.2.0"/>
        </w:rPr>
        <w:sym w:font="Symbol" w:char="F0B1"/>
      </w:r>
      <w:r>
        <w:rPr>
          <w:rFonts w:cs="v4.2.0"/>
        </w:rPr>
        <w:t>T</w:t>
      </w:r>
      <w:r>
        <w:rPr>
          <w:rFonts w:cs="v4.2.0"/>
          <w:vertAlign w:val="subscript"/>
        </w:rPr>
        <w:t>e</w:t>
      </w:r>
      <w:r>
        <w:rPr>
          <w:rFonts w:cs="v4.2.0"/>
        </w:rPr>
        <w:t xml:space="preserve"> in clause 7.1.2.3</w:t>
      </w:r>
      <w:r>
        <w:rPr>
          <w:rFonts w:eastAsia="Batang"/>
          <w:lang w:eastAsia="ko-KR"/>
        </w:rPr>
        <w:t>.</w:t>
      </w:r>
    </w:p>
    <w:p>
      <w:pPr>
        <w:pStyle w:val="75"/>
        <w:rPr>
          <w:rFonts w:eastAsia="Batang"/>
          <w:lang w:eastAsia="ko-KR"/>
        </w:rPr>
      </w:pPr>
      <w:r>
        <w:rPr>
          <w:rFonts w:eastAsia="Batang"/>
          <w:lang w:eastAsia="ko-KR"/>
        </w:rPr>
        <w:t>If the DL timing difference is &lt; CP/4, UE follows the DL timing of the new camping cell by performing gradual timing adjustment as defined in clause 7.1.2.1.</w:t>
      </w:r>
    </w:p>
    <w:p>
      <w:pPr>
        <w:rPr>
          <w:ins w:id="0" w:author="Jingjing Chen_CMCC" w:date="2024-01-25T17:31:45Z"/>
          <w:rFonts w:eastAsia="Batang"/>
          <w:lang w:eastAsia="ko-KR"/>
        </w:rPr>
      </w:pPr>
      <w:r>
        <w:rPr>
          <w:rFonts w:eastAsia="Batang"/>
          <w:lang w:eastAsia="ko-KR"/>
        </w:rPr>
        <w:t>The above DL timing difference is timing difference between the last camping cell and current camping cell.</w:t>
      </w:r>
    </w:p>
    <w:p>
      <w:pPr>
        <w:rPr>
          <w:rFonts w:hint="default" w:eastAsia="宋体"/>
          <w:lang w:val="en-US" w:eastAsia="zh-CN"/>
        </w:rPr>
      </w:pPr>
      <w:ins w:id="1" w:author="Jingjing Chen_CMCC" w:date="2024-01-25T17:31:46Z">
        <w:r>
          <w:rPr>
            <w:rFonts w:hint="eastAsia" w:eastAsia="宋体"/>
            <w:lang w:val="en-US" w:eastAsia="zh-CN"/>
          </w:rPr>
          <w:t>No</w:t>
        </w:r>
      </w:ins>
      <w:ins w:id="2" w:author="Jingjing Chen_CMCC" w:date="2024-01-25T17:31:47Z">
        <w:r>
          <w:rPr>
            <w:rFonts w:hint="eastAsia" w:eastAsia="宋体"/>
            <w:lang w:val="en-US" w:eastAsia="zh-CN"/>
          </w:rPr>
          <w:t>te</w:t>
        </w:r>
      </w:ins>
      <w:ins w:id="3" w:author="Jingjing Chen_CMCC" w:date="2024-01-25T17:31:49Z">
        <w:r>
          <w:rPr>
            <w:rFonts w:hint="eastAsia" w:eastAsia="宋体"/>
            <w:lang w:val="en-US" w:eastAsia="zh-CN"/>
          </w:rPr>
          <w:t xml:space="preserve">: </w:t>
        </w:r>
      </w:ins>
      <w:ins w:id="4" w:author="Jingjing Chen_CMCC" w:date="2024-01-25T17:32:51Z">
        <w:r>
          <w:rPr>
            <w:rFonts w:hint="eastAsia" w:eastAsia="宋体"/>
            <w:lang w:val="en-US" w:eastAsia="zh-CN"/>
          </w:rPr>
          <w:t xml:space="preserve">when </w:t>
        </w:r>
      </w:ins>
      <w:ins w:id="5" w:author="Jingjing Chen_CMCC" w:date="2024-01-25T17:33:12Z">
        <w:r>
          <w:rPr>
            <w:rFonts w:hint="eastAsia" w:eastAsia="宋体"/>
            <w:lang w:val="en-US" w:eastAsia="zh-CN"/>
          </w:rPr>
          <w:t>UE autonomously adjusts the TA based on twice of the DL timing difference</w:t>
        </w:r>
      </w:ins>
      <w:ins w:id="6" w:author="Jingjing Chen_CMCC" w:date="2024-01-25T17:33:14Z">
        <w:r>
          <w:rPr>
            <w:rFonts w:hint="eastAsia" w:eastAsia="宋体"/>
            <w:lang w:val="en-US" w:eastAsia="zh-CN"/>
          </w:rPr>
          <w:t>,</w:t>
        </w:r>
      </w:ins>
      <w:ins w:id="7" w:author="Jingjing Chen_CMCC" w:date="2024-01-25T17:33:15Z">
        <w:r>
          <w:rPr>
            <w:rFonts w:hint="eastAsia" w:eastAsia="宋体"/>
            <w:lang w:val="en-US" w:eastAsia="zh-CN"/>
          </w:rPr>
          <w:t xml:space="preserve"> </w:t>
        </w:r>
      </w:ins>
      <w:ins w:id="8" w:author="Jingjing Chen_CMCC" w:date="2024-01-25T17:32:13Z">
        <w:r>
          <w:rPr>
            <w:rFonts w:hint="eastAsia" w:eastAsia="宋体"/>
            <w:lang w:val="en-US" w:eastAsia="zh-CN"/>
          </w:rPr>
          <w:t xml:space="preserve">UE is not expected to </w:t>
        </w:r>
      </w:ins>
      <w:ins w:id="9" w:author="Jingjing Chen_CMCC" w:date="2024-01-25T17:32:44Z">
        <w:r>
          <w:rPr>
            <w:rFonts w:hint="eastAsia" w:eastAsia="宋体"/>
            <w:lang w:val="en-US" w:eastAsia="zh-CN"/>
          </w:rPr>
          <w:t>a</w:t>
        </w:r>
      </w:ins>
      <w:ins w:id="10" w:author="Jingjing Chen_CMCC" w:date="2024-01-25T17:32:45Z">
        <w:r>
          <w:rPr>
            <w:rFonts w:hint="eastAsia" w:eastAsia="宋体"/>
            <w:lang w:val="en-US" w:eastAsia="zh-CN"/>
          </w:rPr>
          <w:t>d</w:t>
        </w:r>
      </w:ins>
      <w:ins w:id="11" w:author="Jingjing Chen_CMCC" w:date="2024-01-25T17:32:46Z">
        <w:r>
          <w:rPr>
            <w:rFonts w:hint="eastAsia" w:eastAsia="宋体"/>
            <w:lang w:val="en-US" w:eastAsia="zh-CN"/>
          </w:rPr>
          <w:t>jus</w:t>
        </w:r>
      </w:ins>
      <w:ins w:id="12" w:author="Jingjing Chen_CMCC" w:date="2024-01-25T17:32:47Z">
        <w:r>
          <w:rPr>
            <w:rFonts w:hint="eastAsia" w:eastAsia="宋体"/>
            <w:lang w:val="en-US" w:eastAsia="zh-CN"/>
          </w:rPr>
          <w:t>t</w:t>
        </w:r>
      </w:ins>
      <w:ins w:id="13" w:author="Jingjing Chen_CMCC" w:date="2024-01-25T17:32:13Z">
        <w:r>
          <w:rPr>
            <w:rFonts w:hint="eastAsia" w:eastAsia="宋体"/>
            <w:lang w:val="en-US" w:eastAsia="zh-CN"/>
          </w:rPr>
          <w:t xml:space="preserve"> the TA value to a negative value.</w:t>
        </w:r>
      </w:ins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>&lt;&lt; End of 1</w:t>
      </w:r>
      <w:r>
        <w:rPr>
          <w:rFonts w:ascii="Arial" w:hAnsi="Arial" w:eastAsia="??"/>
          <w:color w:val="FF0000"/>
          <w:sz w:val="32"/>
          <w:szCs w:val="32"/>
          <w:vertAlign w:val="superscript"/>
        </w:rPr>
        <w:t>st</w:t>
      </w:r>
      <w:r>
        <w:rPr>
          <w:rFonts w:ascii="Arial" w:hAnsi="Arial" w:eastAsia="??"/>
          <w:color w:val="FF0000"/>
          <w:sz w:val="32"/>
          <w:szCs w:val="32"/>
        </w:rPr>
        <w:t xml:space="preserve"> change &gt;&gt;</w:t>
      </w: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0E5EFC"/>
    <w:multiLevelType w:val="multilevel"/>
    <w:tmpl w:val="210E5EFC"/>
    <w:lvl w:ilvl="0" w:tentative="0">
      <w:start w:val="1"/>
      <w:numFmt w:val="bullet"/>
      <w:pStyle w:val="9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jing Chen_CMCC">
    <w15:presenceInfo w15:providerId="None" w15:userId="Jingjing Chen_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5178A"/>
    <w:rsid w:val="0026004D"/>
    <w:rsid w:val="002640DD"/>
    <w:rsid w:val="00275D12"/>
    <w:rsid w:val="00284FEB"/>
    <w:rsid w:val="002860C4"/>
    <w:rsid w:val="002A379A"/>
    <w:rsid w:val="002B5741"/>
    <w:rsid w:val="002E472E"/>
    <w:rsid w:val="00305409"/>
    <w:rsid w:val="0034087D"/>
    <w:rsid w:val="003609EF"/>
    <w:rsid w:val="0036231A"/>
    <w:rsid w:val="00374DD4"/>
    <w:rsid w:val="003E1A36"/>
    <w:rsid w:val="00401532"/>
    <w:rsid w:val="00410371"/>
    <w:rsid w:val="004242F1"/>
    <w:rsid w:val="00447247"/>
    <w:rsid w:val="004B65B9"/>
    <w:rsid w:val="004B75B7"/>
    <w:rsid w:val="0051580D"/>
    <w:rsid w:val="00547111"/>
    <w:rsid w:val="005478EB"/>
    <w:rsid w:val="00592D74"/>
    <w:rsid w:val="005E2C44"/>
    <w:rsid w:val="00621188"/>
    <w:rsid w:val="006257ED"/>
    <w:rsid w:val="00665C47"/>
    <w:rsid w:val="00695808"/>
    <w:rsid w:val="006970CF"/>
    <w:rsid w:val="006B46FB"/>
    <w:rsid w:val="006E21FB"/>
    <w:rsid w:val="006F77A8"/>
    <w:rsid w:val="007176FF"/>
    <w:rsid w:val="00792342"/>
    <w:rsid w:val="00794B89"/>
    <w:rsid w:val="007977A8"/>
    <w:rsid w:val="007B512A"/>
    <w:rsid w:val="007B5134"/>
    <w:rsid w:val="007C2097"/>
    <w:rsid w:val="007D6A07"/>
    <w:rsid w:val="007E450C"/>
    <w:rsid w:val="007F7259"/>
    <w:rsid w:val="008040A8"/>
    <w:rsid w:val="008279FA"/>
    <w:rsid w:val="00841DBD"/>
    <w:rsid w:val="00860DF2"/>
    <w:rsid w:val="008626E7"/>
    <w:rsid w:val="00870EE7"/>
    <w:rsid w:val="008863B9"/>
    <w:rsid w:val="008A45A6"/>
    <w:rsid w:val="008C00C8"/>
    <w:rsid w:val="008C5BFA"/>
    <w:rsid w:val="008F3789"/>
    <w:rsid w:val="008F686C"/>
    <w:rsid w:val="009148DE"/>
    <w:rsid w:val="00941E30"/>
    <w:rsid w:val="009506B0"/>
    <w:rsid w:val="009777D9"/>
    <w:rsid w:val="00991B88"/>
    <w:rsid w:val="009A5753"/>
    <w:rsid w:val="009A579D"/>
    <w:rsid w:val="009D0C29"/>
    <w:rsid w:val="009E3297"/>
    <w:rsid w:val="009F734F"/>
    <w:rsid w:val="00A246B6"/>
    <w:rsid w:val="00A47E70"/>
    <w:rsid w:val="00A50CF0"/>
    <w:rsid w:val="00A7671C"/>
    <w:rsid w:val="00A90D39"/>
    <w:rsid w:val="00A970DE"/>
    <w:rsid w:val="00AA2CBC"/>
    <w:rsid w:val="00AC5820"/>
    <w:rsid w:val="00AD1CD8"/>
    <w:rsid w:val="00B04DC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5DD"/>
    <w:rsid w:val="00C95985"/>
    <w:rsid w:val="00CC5026"/>
    <w:rsid w:val="00CC68D0"/>
    <w:rsid w:val="00D03F9A"/>
    <w:rsid w:val="00D06D51"/>
    <w:rsid w:val="00D24991"/>
    <w:rsid w:val="00D26EB8"/>
    <w:rsid w:val="00D50255"/>
    <w:rsid w:val="00D66520"/>
    <w:rsid w:val="00DE34CF"/>
    <w:rsid w:val="00E003DD"/>
    <w:rsid w:val="00E13F3D"/>
    <w:rsid w:val="00E34898"/>
    <w:rsid w:val="00EA364E"/>
    <w:rsid w:val="00EB09B7"/>
    <w:rsid w:val="00EE7D7C"/>
    <w:rsid w:val="00F25D98"/>
    <w:rsid w:val="00F300FB"/>
    <w:rsid w:val="00FB6386"/>
    <w:rsid w:val="049868E8"/>
    <w:rsid w:val="066A1827"/>
    <w:rsid w:val="09727A0F"/>
    <w:rsid w:val="0A6C0264"/>
    <w:rsid w:val="0DD46CBF"/>
    <w:rsid w:val="0EC17841"/>
    <w:rsid w:val="133D410C"/>
    <w:rsid w:val="16225C7A"/>
    <w:rsid w:val="18ED04C2"/>
    <w:rsid w:val="1DBB0D67"/>
    <w:rsid w:val="1F003FE9"/>
    <w:rsid w:val="20324D08"/>
    <w:rsid w:val="217D7C00"/>
    <w:rsid w:val="22A3415F"/>
    <w:rsid w:val="234677D2"/>
    <w:rsid w:val="23A25897"/>
    <w:rsid w:val="25726B0E"/>
    <w:rsid w:val="25B65CEB"/>
    <w:rsid w:val="2AAF1E37"/>
    <w:rsid w:val="2ABE7AA6"/>
    <w:rsid w:val="2B8354CF"/>
    <w:rsid w:val="2BD30AF4"/>
    <w:rsid w:val="2C792587"/>
    <w:rsid w:val="2D3A3883"/>
    <w:rsid w:val="2E1D72E8"/>
    <w:rsid w:val="2E224612"/>
    <w:rsid w:val="306C3781"/>
    <w:rsid w:val="30761B12"/>
    <w:rsid w:val="328949F5"/>
    <w:rsid w:val="32B026B6"/>
    <w:rsid w:val="34933B51"/>
    <w:rsid w:val="36034D29"/>
    <w:rsid w:val="368F0CB2"/>
    <w:rsid w:val="37D800AA"/>
    <w:rsid w:val="39573D9E"/>
    <w:rsid w:val="39EA506F"/>
    <w:rsid w:val="3A721073"/>
    <w:rsid w:val="3AAA2FF5"/>
    <w:rsid w:val="3BB63B54"/>
    <w:rsid w:val="3C697EA9"/>
    <w:rsid w:val="3D3A2780"/>
    <w:rsid w:val="3E620A86"/>
    <w:rsid w:val="416A2100"/>
    <w:rsid w:val="45295484"/>
    <w:rsid w:val="472E0158"/>
    <w:rsid w:val="4770481C"/>
    <w:rsid w:val="47AF7524"/>
    <w:rsid w:val="489C2980"/>
    <w:rsid w:val="489F29D3"/>
    <w:rsid w:val="48C0506B"/>
    <w:rsid w:val="48D20808"/>
    <w:rsid w:val="4ABB2224"/>
    <w:rsid w:val="4CE91C3E"/>
    <w:rsid w:val="52AD2CAE"/>
    <w:rsid w:val="5517013A"/>
    <w:rsid w:val="55860053"/>
    <w:rsid w:val="58D95D50"/>
    <w:rsid w:val="5C183C23"/>
    <w:rsid w:val="5D44590F"/>
    <w:rsid w:val="5DB8700A"/>
    <w:rsid w:val="5E420235"/>
    <w:rsid w:val="5E5B095A"/>
    <w:rsid w:val="5E800438"/>
    <w:rsid w:val="604E5B1C"/>
    <w:rsid w:val="61005011"/>
    <w:rsid w:val="6607566E"/>
    <w:rsid w:val="664C23E4"/>
    <w:rsid w:val="691A3DDD"/>
    <w:rsid w:val="71956FE8"/>
    <w:rsid w:val="73181763"/>
    <w:rsid w:val="7453147F"/>
    <w:rsid w:val="765D5CBD"/>
    <w:rsid w:val="79ED50A1"/>
    <w:rsid w:val="7B5E4E76"/>
    <w:rsid w:val="7C5C660B"/>
    <w:rsid w:val="7CA10985"/>
    <w:rsid w:val="7D38217E"/>
    <w:rsid w:val="7EEE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9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8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link w:val="89"/>
    <w:qFormat/>
    <w:uiPriority w:val="0"/>
  </w:style>
  <w:style w:type="paragraph" w:customStyle="1" w:styleId="77">
    <w:name w:val="B3"/>
    <w:basedOn w:val="12"/>
    <w:link w:val="90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CR Cover Page Char"/>
    <w:link w:val="81"/>
    <w:qFormat/>
    <w:uiPriority w:val="0"/>
    <w:rPr>
      <w:rFonts w:ascii="Arial" w:hAnsi="Arial"/>
      <w:lang w:val="en-GB" w:eastAsia="en-US"/>
    </w:rPr>
  </w:style>
  <w:style w:type="character" w:customStyle="1" w:styleId="84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B3 Char"/>
    <w:link w:val="77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2">
    <w:name w:val="EQ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列表段落 字符"/>
    <w:link w:val="94"/>
    <w:qFormat/>
    <w:locked/>
    <w:uiPriority w:val="34"/>
    <w:rPr>
      <w:rFonts w:ascii="Times New Roman" w:hAnsi="Times New Roman" w:eastAsia="宋体"/>
      <w:szCs w:val="24"/>
    </w:rPr>
  </w:style>
  <w:style w:type="paragraph" w:styleId="94">
    <w:name w:val="List Paragraph"/>
    <w:basedOn w:val="1"/>
    <w:link w:val="93"/>
    <w:qFormat/>
    <w:uiPriority w:val="34"/>
    <w:pPr>
      <w:numPr>
        <w:ilvl w:val="0"/>
        <w:numId w:val="1"/>
      </w:numPr>
      <w:spacing w:after="120"/>
    </w:pPr>
    <w:rPr>
      <w:rFonts w:eastAsia="宋体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FBAB5-B2DD-4966-8071-E6B615BBF7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14</Pages>
  <Words>6441</Words>
  <Characters>36718</Characters>
  <Lines>305</Lines>
  <Paragraphs>86</Paragraphs>
  <TotalTime>0</TotalTime>
  <ScaleCrop>false</ScaleCrop>
  <LinksUpToDate>false</LinksUpToDate>
  <CharactersWithSpaces>43073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2023-08-24T10:21:00Z</dcterms:created>
  <dc:creator>Michael Sanders, John M Meredith</dc:creator>
  <cp:lastModifiedBy>Jingjing Chen_CMCC</cp:lastModifiedBy>
  <cp:lastPrinted>2411-12-31T15:59:00Z</cp:lastPrinted>
  <dcterms:modified xsi:type="dcterms:W3CDTF">2024-02-19T08:51:31Z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R4-2301873</vt:lpwstr>
  </property>
  <property fmtid="{D5CDD505-2E9C-101B-9397-08002B2CF9AE}" pid="10" name="Spec#">
    <vt:lpwstr>38.133</vt:lpwstr>
  </property>
  <property fmtid="{D5CDD505-2E9C-101B-9397-08002B2CF9AE}" pid="11" name="Cr#">
    <vt:lpwstr>2867</vt:lpwstr>
  </property>
  <property fmtid="{D5CDD505-2E9C-101B-9397-08002B2CF9AE}" pid="12" name="Revision">
    <vt:lpwstr>1</vt:lpwstr>
  </property>
  <property fmtid="{D5CDD505-2E9C-101B-9397-08002B2CF9AE}" pid="13" name="Version">
    <vt:lpwstr>17.8.0</vt:lpwstr>
  </property>
  <property fmtid="{D5CDD505-2E9C-101B-9397-08002B2CF9AE}" pid="14" name="CrTitle">
    <vt:lpwstr>CR on scheduling restriction when deriveSSB-IndexFromCellInter is configured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A47C108F5B414FE69F1BBD34EAFC6F83</vt:lpwstr>
  </property>
</Properties>
</file>